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000000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000000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000000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000000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000000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000000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000000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720590F7" w:rsidR="00B653AD" w:rsidRDefault="00886D77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April 16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118D3F42" w:rsidR="006A4604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EA009D">
        <w:rPr>
          <w:rFonts w:ascii="Arial" w:hAnsi="Arial" w:cs="Arial"/>
          <w:b/>
          <w:bCs/>
        </w:rPr>
        <w:t>March 19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000000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000000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6659E97" w14:textId="77777777" w:rsidR="00326889" w:rsidRDefault="00326889" w:rsidP="00326889">
      <w:pPr>
        <w:pStyle w:val="Footer"/>
        <w:numPr>
          <w:ilvl w:val="0"/>
          <w:numId w:val="1"/>
        </w:numPr>
        <w:tabs>
          <w:tab w:val="center" w:pos="4320"/>
          <w:tab w:val="right" w:pos="8640"/>
        </w:tabs>
        <w:rPr>
          <w:rFonts w:ascii="Arial" w:hAnsi="Arial" w:cs="Arial"/>
          <w:bCs/>
        </w:rPr>
      </w:pPr>
      <w:r w:rsidRPr="00326889">
        <w:rPr>
          <w:rFonts w:ascii="Arial" w:hAnsi="Arial" w:cs="Arial"/>
          <w:bCs/>
        </w:rPr>
        <w:t>Fire Authority Update</w:t>
      </w: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246FEAA6" w14:textId="609EEEEF" w:rsidR="00B653AD" w:rsidRDefault="00000000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B0982B" w14:textId="0399AA72" w:rsidR="00026637" w:rsidRDefault="00ED6638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364012" w14:textId="4C1DCC4F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000000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000000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000000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000000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DB2818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A6685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86903">
    <w:abstractNumId w:val="2"/>
  </w:num>
  <w:num w:numId="2" w16cid:durableId="143787797">
    <w:abstractNumId w:val="1"/>
  </w:num>
  <w:num w:numId="3" w16cid:durableId="1456946758">
    <w:abstractNumId w:val="0"/>
  </w:num>
  <w:num w:numId="4" w16cid:durableId="1150904506">
    <w:abstractNumId w:val="4"/>
  </w:num>
  <w:num w:numId="5" w16cid:durableId="57864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C2E7D"/>
    <w:rsid w:val="00114726"/>
    <w:rsid w:val="00137E3A"/>
    <w:rsid w:val="00184902"/>
    <w:rsid w:val="00190E82"/>
    <w:rsid w:val="001C201A"/>
    <w:rsid w:val="001D3FD9"/>
    <w:rsid w:val="001D602D"/>
    <w:rsid w:val="001F4C79"/>
    <w:rsid w:val="00237839"/>
    <w:rsid w:val="00262BBF"/>
    <w:rsid w:val="002B6023"/>
    <w:rsid w:val="0030385F"/>
    <w:rsid w:val="00326889"/>
    <w:rsid w:val="003667D1"/>
    <w:rsid w:val="003774C3"/>
    <w:rsid w:val="004112F8"/>
    <w:rsid w:val="00527425"/>
    <w:rsid w:val="00641A02"/>
    <w:rsid w:val="0065358E"/>
    <w:rsid w:val="0067158F"/>
    <w:rsid w:val="00675B71"/>
    <w:rsid w:val="006801ED"/>
    <w:rsid w:val="00681A3F"/>
    <w:rsid w:val="006A4604"/>
    <w:rsid w:val="006A5305"/>
    <w:rsid w:val="006C25AB"/>
    <w:rsid w:val="00702C34"/>
    <w:rsid w:val="007463A5"/>
    <w:rsid w:val="007C5481"/>
    <w:rsid w:val="007E38EC"/>
    <w:rsid w:val="007F2D5F"/>
    <w:rsid w:val="00804042"/>
    <w:rsid w:val="00864B51"/>
    <w:rsid w:val="008655AE"/>
    <w:rsid w:val="0087478D"/>
    <w:rsid w:val="00886D77"/>
    <w:rsid w:val="008A5724"/>
    <w:rsid w:val="00904DCF"/>
    <w:rsid w:val="0090579B"/>
    <w:rsid w:val="00982CEA"/>
    <w:rsid w:val="00985D03"/>
    <w:rsid w:val="00987E07"/>
    <w:rsid w:val="009A1622"/>
    <w:rsid w:val="00A65841"/>
    <w:rsid w:val="00AB1CFA"/>
    <w:rsid w:val="00AC1723"/>
    <w:rsid w:val="00B34F99"/>
    <w:rsid w:val="00B6367B"/>
    <w:rsid w:val="00B653AD"/>
    <w:rsid w:val="00B849AA"/>
    <w:rsid w:val="00BA6817"/>
    <w:rsid w:val="00C10051"/>
    <w:rsid w:val="00C136D7"/>
    <w:rsid w:val="00C567AF"/>
    <w:rsid w:val="00CA2523"/>
    <w:rsid w:val="00CA6DD2"/>
    <w:rsid w:val="00D541AD"/>
    <w:rsid w:val="00D919F7"/>
    <w:rsid w:val="00D934B8"/>
    <w:rsid w:val="00DB2818"/>
    <w:rsid w:val="00DF3B6F"/>
    <w:rsid w:val="00E95DC8"/>
    <w:rsid w:val="00EA009D"/>
    <w:rsid w:val="00ED6638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AF9DCFE9-2C8C-4599-A351-B18B66E1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2024-02-19T19:39:00Z</cp:lastPrinted>
  <dcterms:created xsi:type="dcterms:W3CDTF">2024-04-10T17:23:00Z</dcterms:created>
  <dcterms:modified xsi:type="dcterms:W3CDTF">2024-04-10T17:23:00Z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