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527FEBD2" w14:textId="77777777" w:rsidR="00402FEC" w:rsidRPr="006548F3" w:rsidRDefault="00402FEC" w:rsidP="00402FEC">
      <w:pPr>
        <w:pStyle w:val="NoSpacing"/>
        <w:rPr>
          <w:rFonts w:ascii="Tahoma" w:hAnsi="Tahoma" w:cs="Tahoma"/>
          <w:b/>
          <w:bCs/>
          <w:sz w:val="24"/>
          <w:szCs w:val="24"/>
        </w:rPr>
      </w:pPr>
      <w:r w:rsidRPr="006548F3">
        <w:rPr>
          <w:rFonts w:ascii="Tahoma" w:hAnsi="Tahoma" w:cs="Tahoma"/>
          <w:b/>
          <w:bCs/>
          <w:sz w:val="24"/>
          <w:szCs w:val="24"/>
        </w:rPr>
        <w:t>Meeting Information</w:t>
      </w:r>
    </w:p>
    <w:p w14:paraId="1086C49D" w14:textId="3AF94AF9" w:rsidR="00402FEC" w:rsidRPr="006548F3" w:rsidRDefault="00402FEC" w:rsidP="00402FEC">
      <w:pPr>
        <w:pStyle w:val="NoSpacing"/>
        <w:numPr>
          <w:ilvl w:val="0"/>
          <w:numId w:val="3"/>
        </w:numPr>
        <w:rPr>
          <w:rFonts w:ascii="Tahoma" w:hAnsi="Tahoma" w:cs="Tahoma"/>
          <w:sz w:val="24"/>
          <w:szCs w:val="24"/>
        </w:rPr>
      </w:pPr>
      <w:r w:rsidRPr="006548F3">
        <w:rPr>
          <w:rFonts w:ascii="Tahoma" w:hAnsi="Tahoma" w:cs="Tahoma"/>
          <w:sz w:val="24"/>
          <w:szCs w:val="24"/>
        </w:rPr>
        <w:t xml:space="preserve">Topic: Pension Meeting &amp; Board Meeting </w:t>
      </w:r>
    </w:p>
    <w:p w14:paraId="1D316F0A" w14:textId="360C53FA" w:rsidR="00402FEC" w:rsidRPr="006548F3" w:rsidRDefault="00402FEC" w:rsidP="00402FEC">
      <w:pPr>
        <w:pStyle w:val="NoSpacing"/>
        <w:numPr>
          <w:ilvl w:val="0"/>
          <w:numId w:val="3"/>
        </w:numPr>
        <w:rPr>
          <w:rFonts w:ascii="Tahoma" w:hAnsi="Tahoma" w:cs="Tahoma"/>
          <w:sz w:val="24"/>
          <w:szCs w:val="24"/>
        </w:rPr>
      </w:pPr>
      <w:r w:rsidRPr="006548F3">
        <w:rPr>
          <w:rFonts w:ascii="Tahoma" w:hAnsi="Tahoma" w:cs="Tahoma"/>
          <w:sz w:val="24"/>
          <w:szCs w:val="24"/>
        </w:rPr>
        <w:t xml:space="preserve">Date &amp; Time: </w:t>
      </w:r>
      <w:r w:rsidR="0040343E" w:rsidRPr="006548F3">
        <w:rPr>
          <w:rFonts w:ascii="Tahoma" w:hAnsi="Tahoma" w:cs="Tahoma"/>
          <w:sz w:val="24"/>
          <w:szCs w:val="24"/>
        </w:rPr>
        <w:t>April 20</w:t>
      </w:r>
      <w:r w:rsidRPr="006548F3">
        <w:rPr>
          <w:rFonts w:ascii="Tahoma" w:hAnsi="Tahoma" w:cs="Tahoma"/>
          <w:sz w:val="24"/>
          <w:szCs w:val="24"/>
        </w:rPr>
        <w:t>, 2026, 1900 – 2100</w:t>
      </w:r>
    </w:p>
    <w:p w14:paraId="0C7D885C" w14:textId="77777777" w:rsidR="00402FEC" w:rsidRPr="006548F3" w:rsidRDefault="00402FEC" w:rsidP="00402FEC">
      <w:pPr>
        <w:pStyle w:val="NoSpacing"/>
        <w:numPr>
          <w:ilvl w:val="0"/>
          <w:numId w:val="3"/>
        </w:numPr>
        <w:rPr>
          <w:rFonts w:ascii="Tahoma" w:hAnsi="Tahoma" w:cs="Tahoma"/>
          <w:sz w:val="24"/>
          <w:szCs w:val="24"/>
        </w:rPr>
      </w:pPr>
      <w:r w:rsidRPr="006548F3">
        <w:rPr>
          <w:rFonts w:ascii="Tahoma" w:hAnsi="Tahoma" w:cs="Tahoma"/>
          <w:sz w:val="24"/>
          <w:szCs w:val="24"/>
        </w:rPr>
        <w:t>Location: Byers High School, 441 E Front Street, Byers, CO 80103.</w:t>
      </w:r>
    </w:p>
    <w:p w14:paraId="7F614ACF" w14:textId="3DBDB2DD" w:rsidR="00402FEC" w:rsidRDefault="00402FEC" w:rsidP="00151AE0">
      <w:pPr>
        <w:pStyle w:val="NoSpacing"/>
        <w:numPr>
          <w:ilvl w:val="0"/>
          <w:numId w:val="3"/>
        </w:numPr>
        <w:rPr>
          <w:rFonts w:ascii="Tahoma" w:hAnsi="Tahoma" w:cs="Tahoma"/>
          <w:sz w:val="24"/>
          <w:szCs w:val="24"/>
        </w:rPr>
      </w:pPr>
      <w:r w:rsidRPr="006548F3">
        <w:rPr>
          <w:rFonts w:ascii="Tahoma" w:hAnsi="Tahoma" w:cs="Tahoma"/>
          <w:sz w:val="24"/>
          <w:szCs w:val="24"/>
        </w:rPr>
        <w:t xml:space="preserve">Participants: Directors: James Shelley, Shawn Palmer, Mike Nail, and Jeremy Jenkins. Director Grant May was excused from the meeting. Other attendees: Chief Mike Disher, Heidi Price and Chief </w:t>
      </w:r>
      <w:proofErr w:type="spellStart"/>
      <w:r w:rsidRPr="006548F3">
        <w:rPr>
          <w:rFonts w:ascii="Tahoma" w:hAnsi="Tahoma" w:cs="Tahoma"/>
          <w:sz w:val="24"/>
          <w:szCs w:val="24"/>
        </w:rPr>
        <w:t>MacK</w:t>
      </w:r>
      <w:proofErr w:type="spellEnd"/>
      <w:r w:rsidRPr="006548F3">
        <w:rPr>
          <w:rFonts w:ascii="Tahoma" w:hAnsi="Tahoma" w:cs="Tahoma"/>
          <w:sz w:val="24"/>
          <w:szCs w:val="24"/>
        </w:rPr>
        <w:t xml:space="preserve"> join by phone. </w:t>
      </w:r>
    </w:p>
    <w:p w14:paraId="66105C34" w14:textId="77777777" w:rsidR="006548F3" w:rsidRPr="006548F3" w:rsidRDefault="006548F3" w:rsidP="006548F3">
      <w:pPr>
        <w:pStyle w:val="NoSpacing"/>
        <w:ind w:left="720"/>
        <w:rPr>
          <w:rFonts w:ascii="Tahoma" w:hAnsi="Tahoma" w:cs="Tahoma"/>
          <w:sz w:val="24"/>
          <w:szCs w:val="24"/>
        </w:rPr>
      </w:pPr>
    </w:p>
    <w:p w14:paraId="13FC6089" w14:textId="77777777" w:rsidR="00402FEC" w:rsidRPr="006548F3" w:rsidRDefault="00402FEC" w:rsidP="00402FEC">
      <w:pPr>
        <w:pStyle w:val="Heading2"/>
        <w:rPr>
          <w:rFonts w:ascii="Tahoma" w:eastAsia="Times New Roman" w:hAnsi="Tahoma" w:cs="Tahoma"/>
          <w:b/>
          <w:bCs/>
          <w:color w:val="auto"/>
          <w:sz w:val="24"/>
          <w:szCs w:val="24"/>
        </w:rPr>
      </w:pPr>
      <w:r w:rsidRPr="006548F3">
        <w:rPr>
          <w:rFonts w:ascii="Tahoma" w:hAnsi="Tahoma" w:cs="Tahoma"/>
          <w:b/>
          <w:bCs/>
          <w:color w:val="auto"/>
          <w:sz w:val="24"/>
          <w:szCs w:val="24"/>
        </w:rPr>
        <w:t>Overview</w:t>
      </w:r>
    </w:p>
    <w:p w14:paraId="54101A0C" w14:textId="6BEA5E07" w:rsidR="00402FEC" w:rsidRPr="006548F3" w:rsidRDefault="00402FEC" w:rsidP="00402FEC">
      <w:pPr>
        <w:pStyle w:val="NormalWeb"/>
        <w:rPr>
          <w:rFonts w:ascii="Tahoma" w:hAnsi="Tahoma" w:cs="Tahoma"/>
        </w:rPr>
      </w:pPr>
      <w:r w:rsidRPr="006548F3">
        <w:rPr>
          <w:rFonts w:ascii="Tahoma" w:hAnsi="Tahoma" w:cs="Tahoma"/>
        </w:rPr>
        <w:t>This document consolidates notes from several meetings, focusing on financial management, administrative policies, and operational agreements. Key financial topics include an urgent, unbudgeted audit requirement for the pension plan due to new GASB standards, the decision to classify director fees as W-2 wages and managing impact fees and volunteer funds. Administrative discussions cover updating pension bylaws, establishing new employee compensation policies for overtime and leave, and addressing significant delays in receiving necessary documents from a former auditor. Operationally, the group approved several intergovernmental agreements (IGAs) with Strasburg for sharing personnel and a new wildland firefighting leasing agreement to generate revenue. The meetings also addressed vehicle maintenance, equipment purchases, and the liquidation of surplus assets.</w:t>
      </w:r>
    </w:p>
    <w:p w14:paraId="061E5910" w14:textId="77777777" w:rsidR="00402FEC" w:rsidRPr="006548F3" w:rsidRDefault="00402FEC" w:rsidP="00402FEC">
      <w:pPr>
        <w:pStyle w:val="NormalWeb"/>
        <w:rPr>
          <w:rFonts w:ascii="Tahoma" w:hAnsi="Tahoma" w:cs="Tahoma"/>
          <w:b/>
          <w:bCs/>
        </w:rPr>
      </w:pPr>
      <w:r w:rsidRPr="006548F3">
        <w:rPr>
          <w:rFonts w:ascii="Tahoma" w:hAnsi="Tahoma" w:cs="Tahoma"/>
          <w:b/>
          <w:bCs/>
        </w:rPr>
        <w:t>Pension Plan, Audit Compliance, and Bylaws</w:t>
      </w:r>
    </w:p>
    <w:p w14:paraId="554B6FB6"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All pensioners received direct deposit forms with their latest checks, and there has been no negative feedback reported.</w:t>
      </w:r>
    </w:p>
    <w:p w14:paraId="4A097C19" w14:textId="1CAE18D3" w:rsidR="00402FEC" w:rsidRPr="006548F3" w:rsidRDefault="00402FEC" w:rsidP="00402FEC">
      <w:pPr>
        <w:pStyle w:val="NormalWeb"/>
        <w:numPr>
          <w:ilvl w:val="0"/>
          <w:numId w:val="4"/>
        </w:numPr>
        <w:rPr>
          <w:rFonts w:ascii="Tahoma" w:hAnsi="Tahoma" w:cs="Tahoma"/>
        </w:rPr>
      </w:pPr>
      <w:r w:rsidRPr="006548F3">
        <w:rPr>
          <w:rFonts w:ascii="Tahoma" w:hAnsi="Tahoma" w:cs="Tahoma"/>
        </w:rPr>
        <w:t>The deadline for returning the forms was set for the end of May.</w:t>
      </w:r>
    </w:p>
    <w:p w14:paraId="68EAA2E5"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The goal is to implement direct deposit for the next payment cycle, eliminating the need to issue physical checks.</w:t>
      </w:r>
    </w:p>
    <w:p w14:paraId="0C7826E7"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The same company handling payroll for district staff will manage the pension direct deposits, which was determined to be a more cost-effective solution.</w:t>
      </w:r>
    </w:p>
    <w:p w14:paraId="78791B1F"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The district's accountant, Debbie from Crady Cook and Associates, explained that an actuarial study of the pension is now required for the district's audit.</w:t>
      </w:r>
    </w:p>
    <w:p w14:paraId="59125EBC" w14:textId="54F87D26" w:rsidR="00402FEC" w:rsidRPr="006548F3" w:rsidRDefault="00402FEC" w:rsidP="00402FEC">
      <w:pPr>
        <w:pStyle w:val="NormalWeb"/>
        <w:numPr>
          <w:ilvl w:val="0"/>
          <w:numId w:val="4"/>
        </w:numPr>
        <w:rPr>
          <w:rFonts w:ascii="Tahoma" w:hAnsi="Tahoma" w:cs="Tahoma"/>
        </w:rPr>
      </w:pPr>
      <w:r w:rsidRPr="006548F3">
        <w:rPr>
          <w:rFonts w:ascii="Tahoma" w:hAnsi="Tahoma" w:cs="Tahoma"/>
        </w:rPr>
        <w:t xml:space="preserve">This requirement stems from GASB standards, which </w:t>
      </w:r>
      <w:r w:rsidR="006548F3" w:rsidRPr="006548F3">
        <w:rPr>
          <w:rFonts w:ascii="Tahoma" w:hAnsi="Tahoma" w:cs="Tahoma"/>
        </w:rPr>
        <w:t>mean</w:t>
      </w:r>
      <w:r w:rsidR="006548F3">
        <w:rPr>
          <w:rFonts w:ascii="Tahoma" w:hAnsi="Tahoma" w:cs="Tahoma"/>
        </w:rPr>
        <w:t>s</w:t>
      </w:r>
      <w:r w:rsidRPr="006548F3">
        <w:rPr>
          <w:rFonts w:ascii="Tahoma" w:hAnsi="Tahoma" w:cs="Tahoma"/>
        </w:rPr>
        <w:t xml:space="preserve"> that pension liability must be shown on the district's books now that its income has surpassed the $1 million audit-exempt threshold.</w:t>
      </w:r>
    </w:p>
    <w:p w14:paraId="30C9307C"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The previous accountant, Kent, did not advise the board of this requirement, which has put the district behind on compliance.</w:t>
      </w:r>
    </w:p>
    <w:p w14:paraId="3155C4E3"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To become compliant, the district must complete an actuarial report and two GASB reports (for 2024 and 2025) this year.</w:t>
      </w:r>
    </w:p>
    <w:p w14:paraId="426F0903"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lastRenderedPageBreak/>
        <w:t>GRS, a firm that also works with the state of Colorado and the FPPA fund, has quoted a price of $11,500 for the initial actuarial report and the two GASB reports.</w:t>
      </w:r>
    </w:p>
    <w:p w14:paraId="38B99C0C" w14:textId="7B28F855" w:rsidR="00402FEC" w:rsidRPr="006548F3" w:rsidRDefault="00402FEC" w:rsidP="00402FEC">
      <w:pPr>
        <w:pStyle w:val="NormalWeb"/>
        <w:numPr>
          <w:ilvl w:val="0"/>
          <w:numId w:val="4"/>
        </w:numPr>
        <w:rPr>
          <w:rFonts w:ascii="Tahoma" w:hAnsi="Tahoma" w:cs="Tahoma"/>
        </w:rPr>
      </w:pPr>
      <w:r w:rsidRPr="006548F3">
        <w:rPr>
          <w:rFonts w:ascii="Tahoma" w:hAnsi="Tahoma" w:cs="Tahoma"/>
        </w:rPr>
        <w:t>Going forward, an actuarial report will be required every two years at an estimated cost of $11,500, with a GASB report needed in the off years for approximately $4,800.</w:t>
      </w:r>
    </w:p>
    <w:p w14:paraId="43A437AD"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While some board members questioned the high cost for a small organization, it was noted that a similar study was quoted at around $10,000 twenty years ago.</w:t>
      </w:r>
    </w:p>
    <w:p w14:paraId="0DF8ADFC" w14:textId="0BDD8F31" w:rsidR="00402FEC" w:rsidRPr="006548F3" w:rsidRDefault="00402FEC" w:rsidP="00402FEC">
      <w:pPr>
        <w:pStyle w:val="NormalWeb"/>
        <w:numPr>
          <w:ilvl w:val="0"/>
          <w:numId w:val="4"/>
        </w:numPr>
        <w:rPr>
          <w:rFonts w:ascii="Tahoma" w:hAnsi="Tahoma" w:cs="Tahoma"/>
        </w:rPr>
      </w:pPr>
      <w:r w:rsidRPr="006548F3">
        <w:rPr>
          <w:rFonts w:ascii="Tahoma" w:hAnsi="Tahoma" w:cs="Tahoma"/>
        </w:rPr>
        <w:t>Debbie Crady's firm, Crad</w:t>
      </w:r>
      <w:r w:rsidR="006548F3">
        <w:rPr>
          <w:rFonts w:ascii="Tahoma" w:hAnsi="Tahoma" w:cs="Tahoma"/>
        </w:rPr>
        <w:t>y, Puca</w:t>
      </w:r>
      <w:r w:rsidRPr="006548F3">
        <w:rPr>
          <w:rFonts w:ascii="Tahoma" w:hAnsi="Tahoma" w:cs="Tahoma"/>
        </w:rPr>
        <w:t xml:space="preserve"> and Associates, is now handling the district's accounting, preparing the books for the audit.</w:t>
      </w:r>
    </w:p>
    <w:p w14:paraId="183750A0"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David Green will be the new auditor, ensuring an independent review of the financial statements prepared by the accounting firm.</w:t>
      </w:r>
    </w:p>
    <w:p w14:paraId="1D1CC6D2" w14:textId="77777777" w:rsidR="00402FEC" w:rsidRPr="006548F3" w:rsidRDefault="00402FEC" w:rsidP="00402FEC">
      <w:pPr>
        <w:pStyle w:val="NormalWeb"/>
        <w:numPr>
          <w:ilvl w:val="0"/>
          <w:numId w:val="4"/>
        </w:numPr>
        <w:rPr>
          <w:rFonts w:ascii="Tahoma" w:hAnsi="Tahoma" w:cs="Tahoma"/>
        </w:rPr>
      </w:pPr>
      <w:r w:rsidRPr="006548F3">
        <w:rPr>
          <w:rFonts w:ascii="Tahoma" w:hAnsi="Tahoma" w:cs="Tahoma"/>
        </w:rPr>
        <w:t>This separation of accounting and auditing functions is a change from past practices and aligns with current standards.</w:t>
      </w:r>
    </w:p>
    <w:p w14:paraId="74041EB5" w14:textId="614AD060" w:rsidR="00402FEC" w:rsidRPr="006548F3" w:rsidRDefault="00402FEC" w:rsidP="00402FEC">
      <w:pPr>
        <w:pStyle w:val="NormalWeb"/>
        <w:numPr>
          <w:ilvl w:val="0"/>
          <w:numId w:val="4"/>
        </w:numPr>
        <w:rPr>
          <w:rFonts w:ascii="Tahoma" w:hAnsi="Tahoma" w:cs="Tahoma"/>
        </w:rPr>
      </w:pPr>
      <w:r w:rsidRPr="006548F3">
        <w:rPr>
          <w:rFonts w:ascii="Tahoma" w:hAnsi="Tahoma" w:cs="Tahoma"/>
        </w:rPr>
        <w:t xml:space="preserve">A payment of $11,500 was approved to cover the cost of three reports needed for the audit: </w:t>
      </w:r>
      <w:r w:rsidR="006548F3">
        <w:rPr>
          <w:rFonts w:ascii="Tahoma" w:hAnsi="Tahoma" w:cs="Tahoma"/>
        </w:rPr>
        <w:t>We need to have an actuarial report done for 2024 and 2025</w:t>
      </w:r>
      <w:r w:rsidRPr="006548F3">
        <w:rPr>
          <w:rFonts w:ascii="Tahoma" w:hAnsi="Tahoma" w:cs="Tahoma"/>
        </w:rPr>
        <w:t>.</w:t>
      </w:r>
    </w:p>
    <w:p w14:paraId="5D1AFD57" w14:textId="77777777" w:rsidR="00402FEC" w:rsidRPr="006548F3" w:rsidRDefault="00402FEC" w:rsidP="00402FEC">
      <w:pPr>
        <w:pStyle w:val="NormalWeb"/>
        <w:numPr>
          <w:ilvl w:val="1"/>
          <w:numId w:val="4"/>
        </w:numPr>
        <w:rPr>
          <w:rFonts w:ascii="Tahoma" w:hAnsi="Tahoma" w:cs="Tahoma"/>
        </w:rPr>
      </w:pPr>
      <w:r w:rsidRPr="006548F3">
        <w:rPr>
          <w:rFonts w:ascii="Tahoma" w:hAnsi="Tahoma" w:cs="Tahoma"/>
        </w:rPr>
        <w:t>After this year, another three reports will be required. Following that, the reporting cycle will switch to every other year.</w:t>
      </w:r>
    </w:p>
    <w:p w14:paraId="6F75C88C" w14:textId="77777777" w:rsidR="00402FEC" w:rsidRPr="006548F3" w:rsidRDefault="00402FEC" w:rsidP="00402FEC">
      <w:pPr>
        <w:pStyle w:val="NormalWeb"/>
        <w:numPr>
          <w:ilvl w:val="1"/>
          <w:numId w:val="4"/>
        </w:numPr>
        <w:rPr>
          <w:rFonts w:ascii="Tahoma" w:hAnsi="Tahoma" w:cs="Tahoma"/>
        </w:rPr>
      </w:pPr>
      <w:r w:rsidRPr="006548F3">
        <w:rPr>
          <w:rFonts w:ascii="Tahoma" w:hAnsi="Tahoma" w:cs="Tahoma"/>
        </w:rPr>
        <w:t>The plan is to make a prior period adjustment for 2024 to ensure 2025 and future years are correct. The auditor has already agreed to this approach.</w:t>
      </w:r>
    </w:p>
    <w:p w14:paraId="149B89D0" w14:textId="6B2A242C" w:rsidR="00402FEC" w:rsidRPr="006548F3" w:rsidRDefault="00402FEC" w:rsidP="00402FEC">
      <w:pPr>
        <w:pStyle w:val="NormalWeb"/>
        <w:numPr>
          <w:ilvl w:val="0"/>
          <w:numId w:val="4"/>
        </w:numPr>
        <w:rPr>
          <w:rFonts w:ascii="Tahoma" w:hAnsi="Tahoma" w:cs="Tahoma"/>
        </w:rPr>
      </w:pPr>
      <w:r w:rsidRPr="006548F3">
        <w:rPr>
          <w:rFonts w:ascii="Tahoma" w:hAnsi="Tahoma" w:cs="Tahoma"/>
        </w:rPr>
        <w:t xml:space="preserve">The current pension bylaws from 2013 dictate the meeting schedule. There is a need to hold </w:t>
      </w:r>
      <w:r w:rsidR="006548F3" w:rsidRPr="006548F3">
        <w:rPr>
          <w:rFonts w:ascii="Tahoma" w:hAnsi="Tahoma" w:cs="Tahoma"/>
        </w:rPr>
        <w:t>a</w:t>
      </w:r>
      <w:r w:rsidRPr="006548F3">
        <w:rPr>
          <w:rFonts w:ascii="Tahoma" w:hAnsi="Tahoma" w:cs="Tahoma"/>
        </w:rPr>
        <w:t xml:space="preserve"> study to update them to reflect the current meeting structure.</w:t>
      </w:r>
    </w:p>
    <w:p w14:paraId="2E02BA38" w14:textId="77777777" w:rsidR="00402FEC" w:rsidRPr="006548F3" w:rsidRDefault="00402FEC" w:rsidP="00402FEC">
      <w:pPr>
        <w:pStyle w:val="NormalWeb"/>
        <w:rPr>
          <w:rFonts w:ascii="Tahoma" w:hAnsi="Tahoma" w:cs="Tahoma"/>
          <w:b/>
          <w:bCs/>
        </w:rPr>
      </w:pPr>
      <w:r w:rsidRPr="006548F3">
        <w:rPr>
          <w:rFonts w:ascii="Tahoma" w:hAnsi="Tahoma" w:cs="Tahoma"/>
          <w:b/>
          <w:bCs/>
        </w:rPr>
        <w:t>Financial Reporting, Budgeting, and Impact Fees</w:t>
      </w:r>
    </w:p>
    <w:p w14:paraId="39AEBF06"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A new financial report layout was presented, designed to provide a clearer comparison of actual spending against the budget. The new format is a starting point and can be tweaked based on the board's preferences.</w:t>
      </w:r>
    </w:p>
    <w:p w14:paraId="7FE32A5C"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 report includes columns for:</w:t>
      </w:r>
    </w:p>
    <w:p w14:paraId="48DCFBD0"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Year-to-date actuals as of March 31, 2026.</w:t>
      </w:r>
    </w:p>
    <w:p w14:paraId="60B54615"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Budgeted amount for the same period.</w:t>
      </w:r>
    </w:p>
    <w:p w14:paraId="254E8692"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Variance between actuals and the period's budget.</w:t>
      </w:r>
    </w:p>
    <w:p w14:paraId="508D5AF1"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Total annual budget for 2026.</w:t>
      </w:r>
    </w:p>
    <w:p w14:paraId="59E6A977"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Percentage of the total annual budget that has been spent.</w:t>
      </w:r>
    </w:p>
    <w:p w14:paraId="010012E0"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For EMS income, the report shows that 21% of the estimated budget revenue has been earned. The goal is to easily identify if expenses are running high, for example, if spending exceeds 25% a quarter of the way through the year.</w:t>
      </w:r>
    </w:p>
    <w:p w14:paraId="7AE0CA47"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 volunteer fund is money donated to the district, held in a separate bank account, but owned by the district and reported under its EIN.</w:t>
      </w:r>
    </w:p>
    <w:p w14:paraId="1CBCFAC2"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Historically, this fund was managed independently by the volunteers but was later brought under the district's financial oversight.</w:t>
      </w:r>
    </w:p>
    <w:p w14:paraId="18ECB853"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Expenditures from this fund are for non-standard items, such as denim coats, exercise equipment, and a smoker, which are considered gifts to the volunteers.</w:t>
      </w:r>
    </w:p>
    <w:p w14:paraId="4C680571" w14:textId="3879B0C6" w:rsidR="00402FEC" w:rsidRPr="006548F3" w:rsidRDefault="00402FEC" w:rsidP="00402FEC">
      <w:pPr>
        <w:pStyle w:val="NormalWeb"/>
        <w:numPr>
          <w:ilvl w:val="0"/>
          <w:numId w:val="5"/>
        </w:numPr>
        <w:rPr>
          <w:rFonts w:ascii="Tahoma" w:hAnsi="Tahoma" w:cs="Tahoma"/>
        </w:rPr>
      </w:pPr>
      <w:r w:rsidRPr="006548F3">
        <w:rPr>
          <w:rFonts w:ascii="Tahoma" w:hAnsi="Tahoma" w:cs="Tahoma"/>
        </w:rPr>
        <w:t>The group discussed how to handle expenses from the volunteer fund, so they don't negatively impact budget line items.</w:t>
      </w:r>
    </w:p>
    <w:p w14:paraId="4DA5B038"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It was noted that the state only cares about the total bottom line of the budget, not whether individual line items are over.</w:t>
      </w:r>
    </w:p>
    <w:p w14:paraId="68662AF5"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One suggestion was to use a contingency line item in the budget to cover unexpected overages in other categories.</w:t>
      </w:r>
    </w:p>
    <w:p w14:paraId="328AF84F"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 group agreed to re-add the volunteer fund as specific income and expense line items in the budget, a practice that had been stopped a few years prior. This will provide clarity on what money belongs to the volunteers.</w:t>
      </w:r>
    </w:p>
    <w:p w14:paraId="1864B97B" w14:textId="01002B15" w:rsidR="00402FEC" w:rsidRPr="006548F3" w:rsidRDefault="00402FEC" w:rsidP="00402FEC">
      <w:pPr>
        <w:pStyle w:val="NormalWeb"/>
        <w:numPr>
          <w:ilvl w:val="0"/>
          <w:numId w:val="5"/>
        </w:numPr>
        <w:rPr>
          <w:rFonts w:ascii="Tahoma" w:hAnsi="Tahoma" w:cs="Tahoma"/>
        </w:rPr>
      </w:pPr>
      <w:r w:rsidRPr="006548F3">
        <w:rPr>
          <w:rFonts w:ascii="Tahoma" w:hAnsi="Tahoma" w:cs="Tahoma"/>
        </w:rPr>
        <w:t>Income for the funds is unpredictable, coming from fundraisers like spaghetti dinners and shotgun raffles.</w:t>
      </w:r>
    </w:p>
    <w:p w14:paraId="6B2C61CC"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lastRenderedPageBreak/>
        <w:t>However, the fund has a sufficient buffer, and the volunteer group is generally frugal with spending.</w:t>
      </w:r>
    </w:p>
    <w:p w14:paraId="20B0BF34"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An option was presented to formally "commit" the fund's balance via a board resolution.</w:t>
      </w:r>
    </w:p>
    <w:p w14:paraId="37A3FD8A"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This would designate the money for a specific purpose and show it as "committed" on the balance sheet.</w:t>
      </w:r>
    </w:p>
    <w:p w14:paraId="29427432" w14:textId="77777777" w:rsidR="00402FEC" w:rsidRPr="006548F3" w:rsidRDefault="00402FEC" w:rsidP="00402FEC">
      <w:pPr>
        <w:pStyle w:val="NormalWeb"/>
        <w:numPr>
          <w:ilvl w:val="1"/>
          <w:numId w:val="5"/>
        </w:numPr>
        <w:rPr>
          <w:rFonts w:ascii="Tahoma" w:hAnsi="Tahoma" w:cs="Tahoma"/>
        </w:rPr>
      </w:pPr>
      <w:r w:rsidRPr="006548F3">
        <w:rPr>
          <w:rFonts w:ascii="Tahoma" w:hAnsi="Tahoma" w:cs="Tahoma"/>
        </w:rPr>
        <w:t>The commitment could only be undone by another board resolution, providing a safeguard for the funds.</w:t>
      </w:r>
    </w:p>
    <w:p w14:paraId="75706C91"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A significant amount of impact fees from the past four years have not been properly tracked, and the exact total is unknown. An effort will be made to reconstruct the amount by reviewing past records, with an estimate that it could be close to ten grand.</w:t>
      </w:r>
    </w:p>
    <w:p w14:paraId="7501DEAC" w14:textId="2D73DE0D" w:rsidR="00402FEC" w:rsidRPr="006548F3" w:rsidRDefault="00402FEC" w:rsidP="00402FEC">
      <w:pPr>
        <w:pStyle w:val="NormalWeb"/>
        <w:numPr>
          <w:ilvl w:val="0"/>
          <w:numId w:val="5"/>
        </w:numPr>
        <w:rPr>
          <w:rFonts w:ascii="Tahoma" w:hAnsi="Tahoma" w:cs="Tahoma"/>
        </w:rPr>
      </w:pPr>
      <w:r w:rsidRPr="006548F3">
        <w:rPr>
          <w:rFonts w:ascii="Tahoma" w:hAnsi="Tahoma" w:cs="Tahoma"/>
        </w:rPr>
        <w:t>The group discussed whether a separate bank account is legally required for impact fees. While one was opened in Strasburg to be safe, the consensus is that it is not legally mandatory if the funds are meticulously tracked.</w:t>
      </w:r>
    </w:p>
    <w:p w14:paraId="63C8712E" w14:textId="0DA718C3" w:rsidR="00402FEC" w:rsidRPr="006548F3" w:rsidRDefault="00402FEC" w:rsidP="00402FEC">
      <w:pPr>
        <w:pStyle w:val="NormalWeb"/>
        <w:numPr>
          <w:ilvl w:val="0"/>
          <w:numId w:val="5"/>
        </w:numPr>
        <w:rPr>
          <w:rFonts w:ascii="Tahoma" w:hAnsi="Tahoma" w:cs="Tahoma"/>
        </w:rPr>
      </w:pPr>
      <w:r w:rsidRPr="006548F3">
        <w:rPr>
          <w:rFonts w:ascii="Tahoma" w:hAnsi="Tahoma" w:cs="Tahoma"/>
        </w:rPr>
        <w:t xml:space="preserve">It was decided to set up a separate "fund" within QuickBooks to track impact fees. This will allow us to run a Profit &amp; Loss report specifically for these restricted funds, </w:t>
      </w:r>
      <w:proofErr w:type="gramStart"/>
      <w:r w:rsidRPr="006548F3">
        <w:rPr>
          <w:rFonts w:ascii="Tahoma" w:hAnsi="Tahoma" w:cs="Tahoma"/>
        </w:rPr>
        <w:t>similar to</w:t>
      </w:r>
      <w:proofErr w:type="gramEnd"/>
      <w:r w:rsidRPr="006548F3">
        <w:rPr>
          <w:rFonts w:ascii="Tahoma" w:hAnsi="Tahoma" w:cs="Tahoma"/>
        </w:rPr>
        <w:t xml:space="preserve"> how the pension fund will eventually be managed.</w:t>
      </w:r>
    </w:p>
    <w:p w14:paraId="1BAAE5ED"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Impact fees are collected from new construction. The rate is approximately twelve hundred dollars per new house in Adams County and ninety-nine cents per square foot for new commercial buildings.</w:t>
      </w:r>
    </w:p>
    <w:p w14:paraId="06438460"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These funds are highly restricted and can only be used for growth-related expenses, not for replacements. This restriction is because the fees are levied due to the impact of growth on services.</w:t>
      </w:r>
    </w:p>
    <w:p w14:paraId="673A1118"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There is work underway to resolve a paperwork issue in Arapahoe County, which will enable the collection of impact fees across the board and potentially increase revenue.</w:t>
      </w:r>
    </w:p>
    <w:p w14:paraId="39AEA4BB"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There is significant uncertainty about what qualifies as a "growth" expense versus a "replacement." The purchase of a new command vehicle was debated as an example.</w:t>
      </w:r>
    </w:p>
    <w:p w14:paraId="7BF259B2" w14:textId="53332140" w:rsidR="00402FEC" w:rsidRPr="006548F3" w:rsidRDefault="00402FEC" w:rsidP="00402FEC">
      <w:pPr>
        <w:pStyle w:val="NormalWeb"/>
        <w:numPr>
          <w:ilvl w:val="0"/>
          <w:numId w:val="5"/>
        </w:numPr>
        <w:rPr>
          <w:rFonts w:ascii="Tahoma" w:hAnsi="Tahoma" w:cs="Tahoma"/>
        </w:rPr>
      </w:pPr>
      <w:r w:rsidRPr="006548F3">
        <w:rPr>
          <w:rFonts w:ascii="Tahoma" w:hAnsi="Tahoma" w:cs="Tahoma"/>
        </w:rPr>
        <w:t xml:space="preserve">One person believed the vehicle was a replacement for "Brush </w:t>
      </w:r>
      <w:r w:rsidR="006548F3" w:rsidRPr="006548F3">
        <w:rPr>
          <w:rFonts w:ascii="Tahoma" w:hAnsi="Tahoma" w:cs="Tahoma"/>
        </w:rPr>
        <w:t>seventy-one</w:t>
      </w:r>
      <w:r w:rsidRPr="006548F3">
        <w:rPr>
          <w:rFonts w:ascii="Tahoma" w:hAnsi="Tahoma" w:cs="Tahoma"/>
        </w:rPr>
        <w:t>," while another argued it was an addition to the fleet since the old vehicle was not removed from the books.</w:t>
      </w:r>
    </w:p>
    <w:p w14:paraId="1B67F19C"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The group agreed that different attorneys give conflicting advice on this matter. They decided to bring in their attorney, John, to educate them on the proper use of impact fees before any are spent.</w:t>
      </w:r>
    </w:p>
    <w:p w14:paraId="7DACAF88"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It was suggested to set up ACH (Automated Clearing House) for property tax payments to be automatically deposited. This is seen as more secure and efficient than handling physical checks.</w:t>
      </w:r>
    </w:p>
    <w:p w14:paraId="64D6E7A5"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A significant risk with ACH payments is unauthorized withdrawals. To mitigate this, a strategy was discussed where a separate bank account with a minimal balance (e.g., one hundred bucks) is used for ACH transactions. Funds are immediately transferred out of this account upon receipt to protect the main operating funds.</w:t>
      </w:r>
    </w:p>
    <w:p w14:paraId="23818CDE" w14:textId="77777777" w:rsidR="00402FEC" w:rsidRPr="006548F3" w:rsidRDefault="00402FEC" w:rsidP="00402FEC">
      <w:pPr>
        <w:pStyle w:val="NormalWeb"/>
        <w:numPr>
          <w:ilvl w:val="0"/>
          <w:numId w:val="5"/>
        </w:numPr>
        <w:rPr>
          <w:rFonts w:ascii="Tahoma" w:hAnsi="Tahoma" w:cs="Tahoma"/>
        </w:rPr>
      </w:pPr>
      <w:r w:rsidRPr="006548F3">
        <w:rPr>
          <w:rFonts w:ascii="Tahoma" w:hAnsi="Tahoma" w:cs="Tahoma"/>
        </w:rPr>
        <w:t>It was noted that some vendors, like their health insurance provider, are making ACH payments mandatory and no longer accept checks.</w:t>
      </w:r>
    </w:p>
    <w:p w14:paraId="3C05F804" w14:textId="77777777" w:rsidR="00402FEC" w:rsidRPr="006548F3" w:rsidRDefault="00402FEC" w:rsidP="00402FEC">
      <w:pPr>
        <w:pStyle w:val="NormalWeb"/>
        <w:rPr>
          <w:rFonts w:ascii="Tahoma" w:hAnsi="Tahoma" w:cs="Tahoma"/>
          <w:b/>
          <w:bCs/>
        </w:rPr>
      </w:pPr>
      <w:r w:rsidRPr="006548F3">
        <w:rPr>
          <w:rFonts w:ascii="Tahoma" w:hAnsi="Tahoma" w:cs="Tahoma"/>
          <w:b/>
          <w:bCs/>
        </w:rPr>
        <w:t>Director Compensation and Financial Administration</w:t>
      </w:r>
    </w:p>
    <w:p w14:paraId="4C088359"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The group discussed the practice of setting up auto-payments to come from the ATM account, which typically holds a low balance, rather than the general account.</w:t>
      </w:r>
    </w:p>
    <w:p w14:paraId="7DA3DB9F" w14:textId="1C217B33" w:rsidR="00402FEC" w:rsidRPr="006548F3" w:rsidRDefault="00402FEC" w:rsidP="00402FEC">
      <w:pPr>
        <w:pStyle w:val="NormalWeb"/>
        <w:numPr>
          <w:ilvl w:val="0"/>
          <w:numId w:val="6"/>
        </w:numPr>
        <w:rPr>
          <w:rFonts w:ascii="Tahoma" w:hAnsi="Tahoma" w:cs="Tahoma"/>
        </w:rPr>
      </w:pPr>
      <w:r w:rsidRPr="006548F3">
        <w:rPr>
          <w:rFonts w:ascii="Tahoma" w:hAnsi="Tahoma" w:cs="Tahoma"/>
        </w:rPr>
        <w:t xml:space="preserve">It was noted that Elbert County has still not made a payment, despite a representative confirming they received the necessary filing. The amount </w:t>
      </w:r>
      <w:proofErr w:type="gramStart"/>
      <w:r w:rsidRPr="006548F3">
        <w:rPr>
          <w:rFonts w:ascii="Tahoma" w:hAnsi="Tahoma" w:cs="Tahoma"/>
        </w:rPr>
        <w:t>owed</w:t>
      </w:r>
      <w:proofErr w:type="gramEnd"/>
      <w:r w:rsidRPr="006548F3">
        <w:rPr>
          <w:rFonts w:ascii="Tahoma" w:hAnsi="Tahoma" w:cs="Tahoma"/>
        </w:rPr>
        <w:t xml:space="preserve"> is small, around $27.</w:t>
      </w:r>
    </w:p>
    <w:p w14:paraId="122D715A"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A motion to approve the financial report was made, seconded, and passed via a voice vote.</w:t>
      </w:r>
    </w:p>
    <w:p w14:paraId="746256A5"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A major discussion was held regarding how to classify director fees for tax purposes, following a recommendation to switch from 1099 contractor forms to W-2 employee forms.</w:t>
      </w:r>
    </w:p>
    <w:p w14:paraId="7BA2E6AF"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lastRenderedPageBreak/>
        <w:t>The distinction is that W-2 employees have taxes withheld and are reported to the IRS regardless of the amount earned, whereas 1099 reporting has a minimum threshold (currently $600, potentially rising to $2,000 in '26).</w:t>
      </w:r>
    </w:p>
    <w:p w14:paraId="3378B366"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The requirement for W-2 classification is believed to stem from federal IRS rules that define the difference between an employee and an independent contractor, not from state statutes.</w:t>
      </w:r>
    </w:p>
    <w:p w14:paraId="38871238"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One director, Mike Nail, opted to forgo future payments due to the tax implications of W-2 income, as it would push him into a higher tax bracket. He stated he would not even want to receive the check and return it as a gift, as it would still count as income.</w:t>
      </w:r>
    </w:p>
    <w:p w14:paraId="30D2B0BB"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Another director expressed frustration, questioning why they are being required to become employees of the district as elected officials and lose the option to be treated as contractors.</w:t>
      </w:r>
    </w:p>
    <w:p w14:paraId="1DD2CD3A" w14:textId="5DD51E3D" w:rsidR="00402FEC" w:rsidRPr="006548F3" w:rsidRDefault="00402FEC" w:rsidP="00402FEC">
      <w:pPr>
        <w:pStyle w:val="NormalWeb"/>
        <w:numPr>
          <w:ilvl w:val="0"/>
          <w:numId w:val="6"/>
        </w:numPr>
        <w:rPr>
          <w:rFonts w:ascii="Tahoma" w:hAnsi="Tahoma" w:cs="Tahoma"/>
        </w:rPr>
      </w:pPr>
      <w:r w:rsidRPr="006548F3">
        <w:rPr>
          <w:rFonts w:ascii="Tahoma" w:hAnsi="Tahoma" w:cs="Tahoma"/>
        </w:rPr>
        <w:t>The group decided to standardize all director’s payments and process them as W-2 income through the payroll service, ADP.</w:t>
      </w:r>
    </w:p>
    <w:p w14:paraId="3B17F500"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This will eliminate the need to vote on director fee checks each quarter, as they will be treated like other budgeted payroll line items.</w:t>
      </w:r>
    </w:p>
    <w:p w14:paraId="211ECD0E"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Directors will need to provide direct deposit information for future payments.</w:t>
      </w:r>
    </w:p>
    <w:p w14:paraId="35AD5393"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One member confirmed that past payments made in the current year can be retroactively reported to ADP to be included in the final W-2.</w:t>
      </w:r>
    </w:p>
    <w:p w14:paraId="556BFECD"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Despite his earlier decision, Mike Nail will receive the current quarter's check since it has already been processed, but he will not receive payments moving forward.</w:t>
      </w:r>
    </w:p>
    <w:p w14:paraId="2B1AD47E"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Members discussed the negative impact of receiving 1099s for flyers in the previous year, which pushed some into higher tax brackets.</w:t>
      </w:r>
    </w:p>
    <w:p w14:paraId="3F56AD55" w14:textId="77777777" w:rsidR="00402FEC" w:rsidRPr="006548F3" w:rsidRDefault="00402FEC" w:rsidP="00402FEC">
      <w:pPr>
        <w:pStyle w:val="NormalWeb"/>
        <w:numPr>
          <w:ilvl w:val="0"/>
          <w:numId w:val="6"/>
        </w:numPr>
        <w:rPr>
          <w:rFonts w:ascii="Tahoma" w:hAnsi="Tahoma" w:cs="Tahoma"/>
        </w:rPr>
      </w:pPr>
      <w:r w:rsidRPr="006548F3">
        <w:rPr>
          <w:rFonts w:ascii="Tahoma" w:hAnsi="Tahoma" w:cs="Tahoma"/>
        </w:rPr>
        <w:t>It was confirmed that going forward, all payments will be processed through ADP, so 1099s will no longer be an issue for this type of work.</w:t>
      </w:r>
    </w:p>
    <w:p w14:paraId="7B445B42" w14:textId="77777777" w:rsidR="00402FEC" w:rsidRPr="006548F3" w:rsidRDefault="00402FEC" w:rsidP="00402FEC">
      <w:pPr>
        <w:pStyle w:val="NormalWeb"/>
        <w:rPr>
          <w:rFonts w:ascii="Tahoma" w:hAnsi="Tahoma" w:cs="Tahoma"/>
          <w:b/>
          <w:bCs/>
        </w:rPr>
      </w:pPr>
      <w:r w:rsidRPr="006548F3">
        <w:rPr>
          <w:rFonts w:ascii="Tahoma" w:hAnsi="Tahoma" w:cs="Tahoma"/>
          <w:b/>
          <w:bCs/>
        </w:rPr>
        <w:t>Delays with Former Auditor</w:t>
      </w:r>
    </w:p>
    <w:p w14:paraId="086DFAD3" w14:textId="77777777" w:rsidR="00402FEC" w:rsidRPr="006548F3" w:rsidRDefault="00402FEC" w:rsidP="00402FEC">
      <w:pPr>
        <w:pStyle w:val="NormalWeb"/>
        <w:numPr>
          <w:ilvl w:val="0"/>
          <w:numId w:val="7"/>
        </w:numPr>
        <w:rPr>
          <w:rFonts w:ascii="Tahoma" w:hAnsi="Tahoma" w:cs="Tahoma"/>
        </w:rPr>
      </w:pPr>
      <w:r w:rsidRPr="006548F3">
        <w:rPr>
          <w:rFonts w:ascii="Tahoma" w:hAnsi="Tahoma" w:cs="Tahoma"/>
        </w:rPr>
        <w:t>The current finance team is unable to proceed with the audit because the former auditor, Kent, has not provided essential documents after nearly two months of requests.</w:t>
      </w:r>
    </w:p>
    <w:p w14:paraId="7E3C3043" w14:textId="77777777" w:rsidR="00402FEC" w:rsidRPr="006548F3" w:rsidRDefault="00402FEC" w:rsidP="00402FEC">
      <w:pPr>
        <w:pStyle w:val="NormalWeb"/>
        <w:numPr>
          <w:ilvl w:val="0"/>
          <w:numId w:val="7"/>
        </w:numPr>
        <w:rPr>
          <w:rFonts w:ascii="Tahoma" w:hAnsi="Tahoma" w:cs="Tahoma"/>
        </w:rPr>
      </w:pPr>
      <w:r w:rsidRPr="006548F3">
        <w:rPr>
          <w:rFonts w:ascii="Tahoma" w:hAnsi="Tahoma" w:cs="Tahoma"/>
        </w:rPr>
        <w:t xml:space="preserve">Missing items include a legible trial balance, a capital asset schedule, and bank reconciliations. The new auditor has also been instructed to contact Kent, as responding to a successor auditor </w:t>
      </w:r>
      <w:proofErr w:type="gramStart"/>
      <w:r w:rsidRPr="006548F3">
        <w:rPr>
          <w:rFonts w:ascii="Tahoma" w:hAnsi="Tahoma" w:cs="Tahoma"/>
        </w:rPr>
        <w:t>is</w:t>
      </w:r>
      <w:proofErr w:type="gramEnd"/>
      <w:r w:rsidRPr="006548F3">
        <w:rPr>
          <w:rFonts w:ascii="Tahoma" w:hAnsi="Tahoma" w:cs="Tahoma"/>
        </w:rPr>
        <w:t xml:space="preserve"> a professional standard.</w:t>
      </w:r>
    </w:p>
    <w:p w14:paraId="661482B5" w14:textId="77777777" w:rsidR="00402FEC" w:rsidRPr="006548F3" w:rsidRDefault="00402FEC" w:rsidP="00402FEC">
      <w:pPr>
        <w:pStyle w:val="NormalWeb"/>
        <w:numPr>
          <w:ilvl w:val="0"/>
          <w:numId w:val="7"/>
        </w:numPr>
        <w:rPr>
          <w:rFonts w:ascii="Tahoma" w:hAnsi="Tahoma" w:cs="Tahoma"/>
        </w:rPr>
      </w:pPr>
      <w:r w:rsidRPr="006548F3">
        <w:rPr>
          <w:rFonts w:ascii="Tahoma" w:hAnsi="Tahoma" w:cs="Tahoma"/>
        </w:rPr>
        <w:t>The team is facing a July 31st deadline, which is considered nearly impossible to meet due to these delays and other requirements like a new actuarial report.</w:t>
      </w:r>
    </w:p>
    <w:p w14:paraId="3BE74A12" w14:textId="77777777" w:rsidR="00402FEC" w:rsidRPr="006548F3" w:rsidRDefault="00402FEC" w:rsidP="00402FEC">
      <w:pPr>
        <w:pStyle w:val="NormalWeb"/>
        <w:numPr>
          <w:ilvl w:val="0"/>
          <w:numId w:val="7"/>
        </w:numPr>
        <w:rPr>
          <w:rFonts w:ascii="Tahoma" w:hAnsi="Tahoma" w:cs="Tahoma"/>
        </w:rPr>
      </w:pPr>
      <w:r w:rsidRPr="006548F3">
        <w:rPr>
          <w:rFonts w:ascii="Tahoma" w:hAnsi="Tahoma" w:cs="Tahoma"/>
        </w:rPr>
        <w:t>The new target is to complete the audit by the September 30th extension deadline to avoid financial penalties from the state, such as having funds withheld. The organization is already on the Attorney General's radar due to past delays.</w:t>
      </w:r>
    </w:p>
    <w:p w14:paraId="33117918" w14:textId="18D33B76" w:rsidR="00402FEC" w:rsidRPr="006548F3" w:rsidRDefault="00402FEC" w:rsidP="00402FEC">
      <w:pPr>
        <w:pStyle w:val="NormalWeb"/>
        <w:numPr>
          <w:ilvl w:val="0"/>
          <w:numId w:val="7"/>
        </w:numPr>
        <w:rPr>
          <w:rFonts w:ascii="Tahoma" w:hAnsi="Tahoma" w:cs="Tahoma"/>
        </w:rPr>
      </w:pPr>
      <w:r w:rsidRPr="006548F3">
        <w:rPr>
          <w:rFonts w:ascii="Tahoma" w:hAnsi="Tahoma" w:cs="Tahoma"/>
        </w:rPr>
        <w:t xml:space="preserve">A plan was formed to check if the new auditor has made contact. If no progress has been made, the group agreed to involve their attorney, John, </w:t>
      </w:r>
      <w:r w:rsidR="006548F3" w:rsidRPr="006548F3">
        <w:rPr>
          <w:rFonts w:ascii="Tahoma" w:hAnsi="Tahoma" w:cs="Tahoma"/>
        </w:rPr>
        <w:t>in sending</w:t>
      </w:r>
      <w:r w:rsidRPr="006548F3">
        <w:rPr>
          <w:rFonts w:ascii="Tahoma" w:hAnsi="Tahoma" w:cs="Tahoma"/>
        </w:rPr>
        <w:t xml:space="preserve"> a formal letter of demand to Kent.</w:t>
      </w:r>
    </w:p>
    <w:p w14:paraId="405F5E6B" w14:textId="77777777" w:rsidR="00402FEC" w:rsidRPr="006548F3" w:rsidRDefault="00402FEC" w:rsidP="00402FEC">
      <w:pPr>
        <w:pStyle w:val="NormalWeb"/>
        <w:rPr>
          <w:rFonts w:ascii="Tahoma" w:hAnsi="Tahoma" w:cs="Tahoma"/>
          <w:b/>
          <w:bCs/>
        </w:rPr>
      </w:pPr>
      <w:r w:rsidRPr="006548F3">
        <w:rPr>
          <w:rFonts w:ascii="Tahoma" w:hAnsi="Tahoma" w:cs="Tahoma"/>
          <w:b/>
          <w:bCs/>
        </w:rPr>
        <w:t>Land Purchase, Agreements, and Equipment</w:t>
      </w:r>
    </w:p>
    <w:p w14:paraId="25B5FA67"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The land purchase is in progress, with several individuals assigned to gather information.</w:t>
      </w:r>
    </w:p>
    <w:p w14:paraId="5153F87D"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Director Palmer and Director Jenkins are each reaching out to contacts, while another member will call the on-call planner to get specific dollar amounts.</w:t>
      </w:r>
    </w:p>
    <w:p w14:paraId="1D70C0A8"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The goal is to have solid information to present at the next meeting.</w:t>
      </w:r>
    </w:p>
    <w:p w14:paraId="099BC06E"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The group reviewed and approved an IGA with the Strasburg Fire Protection District for a division chief position.</w:t>
      </w:r>
    </w:p>
    <w:p w14:paraId="3731F5CE"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An IGA was approved to facilitate paramedic clearances. Under this agreement, Byers will pay its staff for clearing Strasburg paramedics and then invoice Strasburg for reimbursement, avoiding the need for Byers staff to become Strasburg employees.</w:t>
      </w:r>
    </w:p>
    <w:p w14:paraId="12AFC25F" w14:textId="16B60FA3" w:rsidR="00402FEC" w:rsidRPr="006548F3" w:rsidRDefault="00402FEC" w:rsidP="00402FEC">
      <w:pPr>
        <w:pStyle w:val="NormalWeb"/>
        <w:numPr>
          <w:ilvl w:val="0"/>
          <w:numId w:val="8"/>
        </w:numPr>
        <w:rPr>
          <w:rFonts w:ascii="Tahoma" w:hAnsi="Tahoma" w:cs="Tahoma"/>
        </w:rPr>
      </w:pPr>
      <w:r w:rsidRPr="006548F3">
        <w:rPr>
          <w:rFonts w:ascii="Tahoma" w:hAnsi="Tahoma" w:cs="Tahoma"/>
        </w:rPr>
        <w:t xml:space="preserve">A leasing agreement with Nick </w:t>
      </w:r>
      <w:r w:rsidR="006548F3">
        <w:rPr>
          <w:rFonts w:ascii="Tahoma" w:hAnsi="Tahoma" w:cs="Tahoma"/>
        </w:rPr>
        <w:t>Ophaug</w:t>
      </w:r>
      <w:r w:rsidRPr="006548F3">
        <w:rPr>
          <w:rFonts w:ascii="Tahoma" w:hAnsi="Tahoma" w:cs="Tahoma"/>
        </w:rPr>
        <w:t xml:space="preserve"> was discussed for wildland firefighting deployments.</w:t>
      </w:r>
    </w:p>
    <w:p w14:paraId="7BC06484" w14:textId="77777777" w:rsidR="00402FEC" w:rsidRPr="006548F3" w:rsidRDefault="00402FEC" w:rsidP="00402FEC">
      <w:pPr>
        <w:pStyle w:val="NormalWeb"/>
        <w:numPr>
          <w:ilvl w:val="1"/>
          <w:numId w:val="8"/>
        </w:numPr>
        <w:rPr>
          <w:rFonts w:ascii="Tahoma" w:hAnsi="Tahoma" w:cs="Tahoma"/>
        </w:rPr>
      </w:pPr>
      <w:r w:rsidRPr="006548F3">
        <w:rPr>
          <w:rFonts w:ascii="Tahoma" w:hAnsi="Tahoma" w:cs="Tahoma"/>
        </w:rPr>
        <w:lastRenderedPageBreak/>
        <w:t>The district will lease trucks that earn $99/hour with a daily minimum of approximately $750.</w:t>
      </w:r>
    </w:p>
    <w:p w14:paraId="1EDD0A06" w14:textId="77777777" w:rsidR="00402FEC" w:rsidRPr="006548F3" w:rsidRDefault="00402FEC" w:rsidP="00402FEC">
      <w:pPr>
        <w:pStyle w:val="NormalWeb"/>
        <w:numPr>
          <w:ilvl w:val="1"/>
          <w:numId w:val="8"/>
        </w:numPr>
        <w:rPr>
          <w:rFonts w:ascii="Tahoma" w:hAnsi="Tahoma" w:cs="Tahoma"/>
        </w:rPr>
      </w:pPr>
      <w:r w:rsidRPr="006548F3">
        <w:rPr>
          <w:rFonts w:ascii="Tahoma" w:hAnsi="Tahoma" w:cs="Tahoma"/>
        </w:rPr>
        <w:t>The district will pay Nick $500 per day for the truck, netting a minimum of $250 per day for the district.</w:t>
      </w:r>
    </w:p>
    <w:p w14:paraId="20D65B94" w14:textId="77777777" w:rsidR="00402FEC" w:rsidRPr="006548F3" w:rsidRDefault="00402FEC" w:rsidP="00402FEC">
      <w:pPr>
        <w:pStyle w:val="NormalWeb"/>
        <w:numPr>
          <w:ilvl w:val="1"/>
          <w:numId w:val="8"/>
        </w:numPr>
        <w:rPr>
          <w:rFonts w:ascii="Tahoma" w:hAnsi="Tahoma" w:cs="Tahoma"/>
        </w:rPr>
      </w:pPr>
      <w:r w:rsidRPr="006548F3">
        <w:rPr>
          <w:rFonts w:ascii="Tahoma" w:hAnsi="Tahoma" w:cs="Tahoma"/>
        </w:rPr>
        <w:t>Nick is responsible for his own payroll. If district personnel are used, the district will bill for their time.</w:t>
      </w:r>
    </w:p>
    <w:p w14:paraId="5A83F69C" w14:textId="77777777" w:rsidR="00402FEC" w:rsidRPr="006548F3" w:rsidRDefault="00402FEC" w:rsidP="00402FEC">
      <w:pPr>
        <w:pStyle w:val="NormalWeb"/>
        <w:numPr>
          <w:ilvl w:val="1"/>
          <w:numId w:val="8"/>
        </w:numPr>
        <w:rPr>
          <w:rFonts w:ascii="Tahoma" w:hAnsi="Tahoma" w:cs="Tahoma"/>
        </w:rPr>
      </w:pPr>
      <w:r w:rsidRPr="006548F3">
        <w:rPr>
          <w:rFonts w:ascii="Tahoma" w:hAnsi="Tahoma" w:cs="Tahoma"/>
        </w:rPr>
        <w:t>The district will pay for fuel and hotels but will be reimbursed.</w:t>
      </w:r>
    </w:p>
    <w:p w14:paraId="1398A135" w14:textId="77777777" w:rsidR="00402FEC" w:rsidRPr="006548F3" w:rsidRDefault="00402FEC" w:rsidP="00402FEC">
      <w:pPr>
        <w:pStyle w:val="NormalWeb"/>
        <w:numPr>
          <w:ilvl w:val="1"/>
          <w:numId w:val="8"/>
        </w:numPr>
        <w:rPr>
          <w:rFonts w:ascii="Tahoma" w:hAnsi="Tahoma" w:cs="Tahoma"/>
        </w:rPr>
      </w:pPr>
      <w:r w:rsidRPr="006548F3">
        <w:rPr>
          <w:rFonts w:ascii="Tahoma" w:hAnsi="Tahoma" w:cs="Tahoma"/>
        </w:rPr>
        <w:t>Nick will not be paid until the district receives payment from the state.</w:t>
      </w:r>
    </w:p>
    <w:p w14:paraId="616D1C42"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The district plans to purchase two radios, estimated at $6,900 each, for the wildland team. It is expected that the cost of these radios will be covered by the revenue from the first deployment.</w:t>
      </w:r>
    </w:p>
    <w:p w14:paraId="31E1FE0C"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It was confirmed that the district's insurance will cover the leased trucks, even when operated by Nick's personnel, as it falls under a mutual aid and lease agreement.</w:t>
      </w:r>
    </w:p>
    <w:p w14:paraId="45DBE5AE" w14:textId="77777777" w:rsidR="00402FEC" w:rsidRPr="006548F3" w:rsidRDefault="00402FEC" w:rsidP="00402FEC">
      <w:pPr>
        <w:pStyle w:val="NormalWeb"/>
        <w:numPr>
          <w:ilvl w:val="0"/>
          <w:numId w:val="8"/>
        </w:numPr>
        <w:rPr>
          <w:rFonts w:ascii="Tahoma" w:hAnsi="Tahoma" w:cs="Tahoma"/>
        </w:rPr>
      </w:pPr>
      <w:r w:rsidRPr="006548F3">
        <w:rPr>
          <w:rFonts w:ascii="Tahoma" w:hAnsi="Tahoma" w:cs="Tahoma"/>
        </w:rPr>
        <w:t>The board discussed and approved a wildland agreement that allows the district to lease its apparatus for deployments. This is expected to have a significant financial benefit, with one speaker estimating a 99% benefit.</w:t>
      </w:r>
    </w:p>
    <w:p w14:paraId="20071D74" w14:textId="1D90D66D" w:rsidR="00402FEC" w:rsidRPr="006548F3" w:rsidRDefault="00402FEC" w:rsidP="00402FEC">
      <w:pPr>
        <w:pStyle w:val="NormalWeb"/>
        <w:numPr>
          <w:ilvl w:val="0"/>
          <w:numId w:val="8"/>
        </w:numPr>
        <w:rPr>
          <w:rFonts w:ascii="Tahoma" w:hAnsi="Tahoma" w:cs="Tahoma"/>
        </w:rPr>
      </w:pPr>
      <w:r w:rsidRPr="006548F3">
        <w:rPr>
          <w:rFonts w:ascii="Tahoma" w:hAnsi="Tahoma" w:cs="Tahoma"/>
        </w:rPr>
        <w:t>The state will reimburse any equipment broken or damaged during a call, such as tires or pumps. General maintenance remains the district's responsibility.</w:t>
      </w:r>
    </w:p>
    <w:p w14:paraId="4C01AB6E" w14:textId="77777777" w:rsidR="00402FEC" w:rsidRPr="006548F3" w:rsidRDefault="00402FEC" w:rsidP="00402FEC">
      <w:pPr>
        <w:pStyle w:val="NormalWeb"/>
        <w:numPr>
          <w:ilvl w:val="0"/>
          <w:numId w:val="8"/>
        </w:numPr>
        <w:rPr>
          <w:rFonts w:ascii="Tahoma" w:hAnsi="Tahoma" w:cs="Tahoma"/>
        </w:rPr>
      </w:pPr>
      <w:proofErr w:type="gramStart"/>
      <w:r w:rsidRPr="006548F3">
        <w:rPr>
          <w:rFonts w:ascii="Tahoma" w:hAnsi="Tahoma" w:cs="Tahoma"/>
        </w:rPr>
        <w:t>Future plans</w:t>
      </w:r>
      <w:proofErr w:type="gramEnd"/>
      <w:r w:rsidRPr="006548F3">
        <w:rPr>
          <w:rFonts w:ascii="Tahoma" w:hAnsi="Tahoma" w:cs="Tahoma"/>
        </w:rPr>
        <w:t xml:space="preserve"> include using the revenue generated from this agreement to purchase more equipment, like trucks, and potentially adding an ambulance to the deployment package.</w:t>
      </w:r>
    </w:p>
    <w:p w14:paraId="60C5FCAB" w14:textId="77777777" w:rsidR="006548F3" w:rsidRDefault="00402FEC" w:rsidP="006548F3">
      <w:pPr>
        <w:pStyle w:val="NormalWeb"/>
        <w:numPr>
          <w:ilvl w:val="0"/>
          <w:numId w:val="8"/>
        </w:numPr>
        <w:rPr>
          <w:rFonts w:ascii="Tahoma" w:hAnsi="Tahoma" w:cs="Tahoma"/>
        </w:rPr>
      </w:pPr>
      <w:r w:rsidRPr="006548F3">
        <w:rPr>
          <w:rFonts w:ascii="Tahoma" w:hAnsi="Tahoma" w:cs="Tahoma"/>
        </w:rPr>
        <w:t>The motion to approve the wildland agreement as presented was made by Director Jenkins, seconded by Director Nail, and passed with a voice vote.</w:t>
      </w:r>
    </w:p>
    <w:p w14:paraId="43C363DF" w14:textId="02DC8424" w:rsidR="00402FEC" w:rsidRPr="006548F3" w:rsidRDefault="00402FEC" w:rsidP="006548F3">
      <w:pPr>
        <w:pStyle w:val="NormalWeb"/>
        <w:numPr>
          <w:ilvl w:val="0"/>
          <w:numId w:val="8"/>
        </w:numPr>
        <w:rPr>
          <w:rFonts w:ascii="Tahoma" w:hAnsi="Tahoma" w:cs="Tahoma"/>
        </w:rPr>
      </w:pPr>
      <w:r w:rsidRPr="006548F3">
        <w:rPr>
          <w:rFonts w:ascii="Tahoma" w:hAnsi="Tahoma" w:cs="Tahoma"/>
        </w:rPr>
        <w:t>A proposal was made to create an IGA with Strasburg to help them fill open Advanced Life Support (ALS) shifts.</w:t>
      </w:r>
    </w:p>
    <w:p w14:paraId="39DB2A9E" w14:textId="77777777" w:rsidR="00402FEC" w:rsidRPr="006548F3" w:rsidRDefault="00402FEC" w:rsidP="00402FEC">
      <w:pPr>
        <w:numPr>
          <w:ilvl w:val="1"/>
          <w:numId w:val="9"/>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Strasburg is experiencing a shortage of ALS providers, placing a burden on the district's crews.</w:t>
      </w:r>
    </w:p>
    <w:p w14:paraId="27FEC99D" w14:textId="72D8A1F8" w:rsidR="00402FEC" w:rsidRPr="006548F3" w:rsidRDefault="00402FEC" w:rsidP="00402FEC">
      <w:pPr>
        <w:numPr>
          <w:ilvl w:val="1"/>
          <w:numId w:val="9"/>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Several of the district's ALS providers are willing to pick up shifts at Strasburg for a PRN rate of $</w:t>
      </w:r>
      <w:r w:rsidR="00CD5AC9">
        <w:rPr>
          <w:rFonts w:ascii="Tahoma" w:eastAsia="Times New Roman" w:hAnsi="Tahoma" w:cs="Tahoma"/>
          <w:sz w:val="24"/>
          <w:szCs w:val="24"/>
        </w:rPr>
        <w:t>23</w:t>
      </w:r>
      <w:r w:rsidRPr="006548F3">
        <w:rPr>
          <w:rFonts w:ascii="Tahoma" w:eastAsia="Times New Roman" w:hAnsi="Tahoma" w:cs="Tahoma"/>
          <w:sz w:val="24"/>
          <w:szCs w:val="24"/>
        </w:rPr>
        <w:t xml:space="preserve"> per hour.</w:t>
      </w:r>
    </w:p>
    <w:p w14:paraId="74895A2F" w14:textId="77777777" w:rsidR="00402FEC" w:rsidRPr="006548F3" w:rsidRDefault="00402FEC" w:rsidP="00402FEC">
      <w:pPr>
        <w:numPr>
          <w:ilvl w:val="1"/>
          <w:numId w:val="9"/>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Under the proposed agreement, Strasburg would be invoiced for the hours and would pay the district, which would then pay the providers.</w:t>
      </w:r>
    </w:p>
    <w:p w14:paraId="5455A839" w14:textId="0E49BA27" w:rsidR="00402FEC" w:rsidRPr="006548F3" w:rsidRDefault="00402FEC" w:rsidP="00402FEC">
      <w:pPr>
        <w:numPr>
          <w:ilvl w:val="1"/>
          <w:numId w:val="9"/>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board has given approval to pursue this agreement with Strasburg.</w:t>
      </w:r>
    </w:p>
    <w:p w14:paraId="752362F4" w14:textId="77777777" w:rsidR="00402FEC" w:rsidRPr="006548F3" w:rsidRDefault="00402FEC" w:rsidP="00402FEC">
      <w:pPr>
        <w:spacing w:before="100" w:beforeAutospacing="1" w:after="100" w:afterAutospacing="1"/>
        <w:outlineLvl w:val="1"/>
        <w:rPr>
          <w:rFonts w:ascii="Tahoma" w:eastAsia="Times New Roman" w:hAnsi="Tahoma" w:cs="Tahoma"/>
          <w:b/>
          <w:bCs/>
          <w:sz w:val="24"/>
          <w:szCs w:val="24"/>
        </w:rPr>
      </w:pPr>
      <w:r w:rsidRPr="006548F3">
        <w:rPr>
          <w:rFonts w:ascii="Tahoma" w:eastAsia="Times New Roman" w:hAnsi="Tahoma" w:cs="Tahoma"/>
          <w:b/>
          <w:bCs/>
          <w:sz w:val="24"/>
          <w:szCs w:val="24"/>
        </w:rPr>
        <w:t>Employee Compensation Policies</w:t>
      </w:r>
    </w:p>
    <w:p w14:paraId="69981915"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board is re-evaluating its compensation structure due to "growing pains" and budget constraints. The current practice of offering comp time is becoming difficult to sustain financially.</w:t>
      </w:r>
    </w:p>
    <w:p w14:paraId="0B0730F2"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primary debate is whether to continue offering comp time or to switch exclusively to paying overtime. Paying overtime would likely exceed the overtime budget, which already happened last year.</w:t>
      </w:r>
    </w:p>
    <w:p w14:paraId="2DED6020"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Employees, particularly those who hunt, prefer keeping comp time for its flexibility.</w:t>
      </w:r>
    </w:p>
    <w:p w14:paraId="068D658C"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A cap of 96 hours for comp time was suggested as a starting point for this year.</w:t>
      </w:r>
    </w:p>
    <w:p w14:paraId="797D6EFE"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One model, based on Commerce City's policy, involves offering a payout for accrued comp time twice a year, such as in June and November.</w:t>
      </w:r>
    </w:p>
    <w:p w14:paraId="5C17FCE2" w14:textId="51B8D51E"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board discussed the need for any comp-time system to be accurately tracked through the payroll system (like ADP) to ensure accountability, especially if an employee leaves.</w:t>
      </w:r>
    </w:p>
    <w:p w14:paraId="1F4D58A0" w14:textId="5D126A31"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For reference, another first responder agency offers employees 187 hours of general leave, 88 hours of holiday time, 40 hours of sick time, and a comp-</w:t>
      </w:r>
      <w:r w:rsidR="006548F3" w:rsidRPr="006548F3">
        <w:rPr>
          <w:rFonts w:ascii="Tahoma" w:eastAsia="Times New Roman" w:hAnsi="Tahoma" w:cs="Tahoma"/>
          <w:sz w:val="24"/>
          <w:szCs w:val="24"/>
        </w:rPr>
        <w:t>time bank</w:t>
      </w:r>
      <w:r w:rsidRPr="006548F3">
        <w:rPr>
          <w:rFonts w:ascii="Tahoma" w:eastAsia="Times New Roman" w:hAnsi="Tahoma" w:cs="Tahoma"/>
          <w:sz w:val="24"/>
          <w:szCs w:val="24"/>
        </w:rPr>
        <w:t xml:space="preserve"> of up to 120 hours.</w:t>
      </w:r>
    </w:p>
    <w:p w14:paraId="754DA287"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board needs to decide how much vacation time employees can accrue and roll over into the next year.</w:t>
      </w:r>
    </w:p>
    <w:p w14:paraId="3E60FBEC"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lastRenderedPageBreak/>
        <w:t>Currently, employees receive a bank of 120 hours of sick time on January 1, which expires on December 31. The board will need to decide if this policy should continue or if sick time should carry over.</w:t>
      </w:r>
    </w:p>
    <w:p w14:paraId="29AD4F59"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Offering flexible benefits like comp time is seen as a crucial tool for employee retention and recruitment, potentially costing less than training new paramedics.</w:t>
      </w:r>
    </w:p>
    <w:p w14:paraId="78C9CF29"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Providing time off is also viewed as important for addressing the mental health challenges of the job, as PTSD is increasingly recognized as a work-related issue.</w:t>
      </w:r>
    </w:p>
    <w:p w14:paraId="711D632F"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overtime budget is projected to be significantly exceeded this year, potentially reaching 150-200% over budget.</w:t>
      </w:r>
    </w:p>
    <w:p w14:paraId="0F72F5B1"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This is partly due to an intergovernmental agreement (IGA) with Strasburg, where an employee is being paid overtime for work done for them.</w:t>
      </w:r>
    </w:p>
    <w:p w14:paraId="48484544" w14:textId="77777777" w:rsidR="00402FEC" w:rsidRPr="006548F3" w:rsidRDefault="00402FEC" w:rsidP="00402FEC">
      <w:pPr>
        <w:numPr>
          <w:ilvl w:val="0"/>
          <w:numId w:val="10"/>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district will be reimbursed by Strasburg for this overtime, so the expense will be offset by corresponding income, but it will still inflate the overtime line item in the budget.</w:t>
      </w:r>
    </w:p>
    <w:p w14:paraId="179623DD" w14:textId="491ADFFD" w:rsidR="00402FEC" w:rsidRPr="006548F3" w:rsidRDefault="00402FEC" w:rsidP="00402FEC">
      <w:pPr>
        <w:spacing w:before="100" w:beforeAutospacing="1" w:after="100" w:afterAutospacing="1"/>
        <w:outlineLvl w:val="1"/>
        <w:rPr>
          <w:rFonts w:ascii="Tahoma" w:eastAsia="Times New Roman" w:hAnsi="Tahoma" w:cs="Tahoma"/>
          <w:b/>
          <w:bCs/>
          <w:sz w:val="24"/>
          <w:szCs w:val="24"/>
        </w:rPr>
      </w:pPr>
      <w:r w:rsidRPr="006548F3">
        <w:rPr>
          <w:rFonts w:ascii="Tahoma" w:eastAsia="Times New Roman" w:hAnsi="Tahoma" w:cs="Tahoma"/>
          <w:b/>
          <w:bCs/>
          <w:sz w:val="24"/>
          <w:szCs w:val="24"/>
        </w:rPr>
        <w:t>Report on Operations and Equipment</w:t>
      </w:r>
    </w:p>
    <w:p w14:paraId="75EA86CF"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proofErr w:type="gramStart"/>
      <w:r w:rsidRPr="006548F3">
        <w:rPr>
          <w:rFonts w:ascii="Tahoma" w:eastAsia="Times New Roman" w:hAnsi="Tahoma" w:cs="Tahoma"/>
          <w:sz w:val="24"/>
          <w:szCs w:val="24"/>
        </w:rPr>
        <w:t>A work</w:t>
      </w:r>
      <w:proofErr w:type="gramEnd"/>
      <w:r w:rsidRPr="006548F3">
        <w:rPr>
          <w:rFonts w:ascii="Tahoma" w:eastAsia="Times New Roman" w:hAnsi="Tahoma" w:cs="Tahoma"/>
          <w:sz w:val="24"/>
          <w:szCs w:val="24"/>
        </w:rPr>
        <w:t xml:space="preserve"> study is needed to review and ratify the pension bylaws. It was suggested this could coincide with the regular district work study.</w:t>
      </w:r>
    </w:p>
    <w:p w14:paraId="4142B5E0"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A tentative date of Wednesday, May 13th was proposed for the next work study. One member noted a potential scheduling conflict due to work meetings, which they will confirm after the first week of May.</w:t>
      </w:r>
    </w:p>
    <w:p w14:paraId="374823D3"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All vehicles are currently in service. However, a Dodge truck required a third motor replacement after the second one spun a bearing during a test drive; the dealer covered the cost. The command vehicle is scheduled for air conditioner service.</w:t>
      </w:r>
    </w:p>
    <w:p w14:paraId="65931A23"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A total of 105 calls were run, broken down as 74 medical, 9 fire, 9 public service, and 12 hazmat. Fire calls are expected to double or triple in the coming months due to weather patterns.</w:t>
      </w:r>
    </w:p>
    <w:p w14:paraId="575E8B4D"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station's house radio is failing, causing the crew to miss two calls. A request was made to spend $36,416.59 on new radios, including two for upcoming lease trucks for a wildland agreement.</w:t>
      </w:r>
    </w:p>
    <w:p w14:paraId="6112F9F6"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expenditure will put the communications line item over budget.</w:t>
      </w:r>
    </w:p>
    <w:p w14:paraId="300C4F46"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$30,000 of this cost will be reimbursed through the 911 authority grant from Arapahoe County, which provides $35,000 annually.</w:t>
      </w:r>
    </w:p>
    <w:p w14:paraId="634A0266"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board approved the expenditure with a 4-0 vote.</w:t>
      </w:r>
    </w:p>
    <w:p w14:paraId="294AF852"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MDTs (Mobile Data Terminals) in the units will need to be upgraded soon as they are 15 years old.</w:t>
      </w:r>
    </w:p>
    <w:p w14:paraId="3C251F88"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 xml:space="preserve">Documentation for the state grant has been reviewed and requires re-signing to ensure the date is accurate for submission. </w:t>
      </w:r>
      <w:proofErr w:type="gramStart"/>
      <w:r w:rsidRPr="006548F3">
        <w:rPr>
          <w:rFonts w:ascii="Tahoma" w:eastAsia="Times New Roman" w:hAnsi="Tahoma" w:cs="Tahoma"/>
          <w:sz w:val="24"/>
          <w:szCs w:val="24"/>
        </w:rPr>
        <w:t>The</w:t>
      </w:r>
      <w:proofErr w:type="gramEnd"/>
      <w:r w:rsidRPr="006548F3">
        <w:rPr>
          <w:rFonts w:ascii="Tahoma" w:eastAsia="Times New Roman" w:hAnsi="Tahoma" w:cs="Tahoma"/>
          <w:sz w:val="24"/>
          <w:szCs w:val="24"/>
        </w:rPr>
        <w:t xml:space="preserve"> goal is to get the documents signed and resubmitted tomorrow.</w:t>
      </w:r>
    </w:p>
    <w:p w14:paraId="773771A7"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monitor and all AEDs are expected to be submitted to the state by the June due date.</w:t>
      </w:r>
    </w:p>
    <w:p w14:paraId="25101E4A"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Reimbursement from the state is anticipated around August, though it could take 60-90 days.</w:t>
      </w:r>
    </w:p>
    <w:p w14:paraId="7666B1DB" w14:textId="291EF952"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 xml:space="preserve">A question was raised about the feasibility of shutting down the station at </w:t>
      </w:r>
      <w:r w:rsidR="00CD5AC9" w:rsidRPr="006548F3">
        <w:rPr>
          <w:rFonts w:ascii="Tahoma" w:eastAsia="Times New Roman" w:hAnsi="Tahoma" w:cs="Tahoma"/>
          <w:sz w:val="24"/>
          <w:szCs w:val="24"/>
        </w:rPr>
        <w:t>112nd</w:t>
      </w:r>
      <w:r w:rsidRPr="006548F3">
        <w:rPr>
          <w:rFonts w:ascii="Tahoma" w:eastAsia="Times New Roman" w:hAnsi="Tahoma" w:cs="Tahoma"/>
          <w:sz w:val="24"/>
          <w:szCs w:val="24"/>
        </w:rPr>
        <w:t xml:space="preserve"> and Mimosa. It was noted that this would likely face pushback as the station positively affects the area's ISO rating and homeowners' insurance.</w:t>
      </w:r>
    </w:p>
    <w:p w14:paraId="5CC20881"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A request was made for a list of all surplus equipment and vehicles at the secondary station to be liquidated.</w:t>
      </w:r>
    </w:p>
    <w:p w14:paraId="1ACD3713"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Items mentioned include an engine that could be donated to a training school and a truck previously sold but not yet picked up.</w:t>
      </w:r>
    </w:p>
    <w:p w14:paraId="4DC69131"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It was noted that unused equipment is deteriorating and represents a liability.</w:t>
      </w:r>
    </w:p>
    <w:p w14:paraId="55BCF4F8" w14:textId="77777777" w:rsidR="00402FEC" w:rsidRPr="006548F3" w:rsidRDefault="00402FEC" w:rsidP="00402FEC">
      <w:pPr>
        <w:numPr>
          <w:ilvl w:val="0"/>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Discussion clarified which vehicles at the station are still usable.</w:t>
      </w:r>
    </w:p>
    <w:p w14:paraId="4D0EA4B6" w14:textId="183C3C7A"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lastRenderedPageBreak/>
        <w:t>The tender truck is usable but needs a fixed tire and new batteries. It holds 3,000 gallons of water.</w:t>
      </w:r>
    </w:p>
    <w:p w14:paraId="45D1B30F"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"Big Red" is also in service but has operational challenges and few staff members who can operate it.</w:t>
      </w:r>
    </w:p>
    <w:p w14:paraId="18CF113B" w14:textId="77777777" w:rsidR="00402FEC" w:rsidRPr="006548F3" w:rsidRDefault="00402FEC" w:rsidP="00402FEC">
      <w:pPr>
        <w:numPr>
          <w:ilvl w:val="1"/>
          <w:numId w:val="11"/>
        </w:numPr>
        <w:spacing w:before="100" w:beforeAutospacing="1" w:after="100" w:afterAutospacing="1"/>
        <w:rPr>
          <w:rFonts w:ascii="Tahoma" w:eastAsia="Times New Roman" w:hAnsi="Tahoma" w:cs="Tahoma"/>
          <w:sz w:val="24"/>
          <w:szCs w:val="24"/>
        </w:rPr>
      </w:pPr>
      <w:r w:rsidRPr="006548F3">
        <w:rPr>
          <w:rFonts w:ascii="Tahoma" w:eastAsia="Times New Roman" w:hAnsi="Tahoma" w:cs="Tahoma"/>
          <w:sz w:val="24"/>
          <w:szCs w:val="24"/>
        </w:rPr>
        <w:t>The consensus was to make necessary repairs to operational vehicles, especially with a potentially severe fire season approaching, to ensure they can be used for water transfer.</w:t>
      </w:r>
    </w:p>
    <w:p w14:paraId="7CC83E57" w14:textId="77777777" w:rsidR="00402FEC" w:rsidRPr="006548F3" w:rsidRDefault="00402FEC" w:rsidP="00402FEC">
      <w:pPr>
        <w:pStyle w:val="NoSpacing"/>
        <w:rPr>
          <w:rFonts w:ascii="Tahoma" w:hAnsi="Tahoma" w:cs="Tahoma"/>
          <w:sz w:val="24"/>
          <w:szCs w:val="24"/>
        </w:rPr>
      </w:pPr>
    </w:p>
    <w:sectPr w:rsidR="00402FEC" w:rsidRPr="006548F3"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468"/>
    <w:multiLevelType w:val="hybridMultilevel"/>
    <w:tmpl w:val="D37A6738"/>
    <w:lvl w:ilvl="0" w:tplc="CEBA5A40">
      <w:numFmt w:val="bullet"/>
      <w:lvlText w:val=""/>
      <w:lvlJc w:val="left"/>
      <w:pPr>
        <w:ind w:left="720" w:hanging="360"/>
      </w:pPr>
      <w:rPr>
        <w:rFonts w:ascii="Symbol" w:eastAsiaTheme="minorHAnsi"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91F37"/>
    <w:multiLevelType w:val="multilevel"/>
    <w:tmpl w:val="823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2779"/>
    <w:multiLevelType w:val="multilevel"/>
    <w:tmpl w:val="344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F27F9"/>
    <w:multiLevelType w:val="multilevel"/>
    <w:tmpl w:val="88908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D2373"/>
    <w:multiLevelType w:val="multilevel"/>
    <w:tmpl w:val="4A121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146CC"/>
    <w:multiLevelType w:val="multilevel"/>
    <w:tmpl w:val="7FB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B5553"/>
    <w:multiLevelType w:val="multilevel"/>
    <w:tmpl w:val="30906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C2817"/>
    <w:multiLevelType w:val="multilevel"/>
    <w:tmpl w:val="7CA2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07E8D"/>
    <w:multiLevelType w:val="multilevel"/>
    <w:tmpl w:val="7B28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7428">
    <w:abstractNumId w:val="3"/>
  </w:num>
  <w:num w:numId="2" w16cid:durableId="639455021">
    <w:abstractNumId w:val="1"/>
  </w:num>
  <w:num w:numId="3" w16cid:durableId="573782212">
    <w:abstractNumId w:val="0"/>
  </w:num>
  <w:num w:numId="4" w16cid:durableId="1554586501">
    <w:abstractNumId w:val="8"/>
  </w:num>
  <w:num w:numId="5" w16cid:durableId="1057700012">
    <w:abstractNumId w:val="9"/>
  </w:num>
  <w:num w:numId="6" w16cid:durableId="1487428354">
    <w:abstractNumId w:val="7"/>
  </w:num>
  <w:num w:numId="7" w16cid:durableId="1758624755">
    <w:abstractNumId w:val="4"/>
  </w:num>
  <w:num w:numId="8" w16cid:durableId="1172180310">
    <w:abstractNumId w:val="6"/>
  </w:num>
  <w:num w:numId="9" w16cid:durableId="147595623">
    <w:abstractNumId w:val="10"/>
  </w:num>
  <w:num w:numId="10" w16cid:durableId="360787525">
    <w:abstractNumId w:val="2"/>
  </w:num>
  <w:num w:numId="11" w16cid:durableId="1828208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429AB"/>
    <w:rsid w:val="0006456D"/>
    <w:rsid w:val="000844A6"/>
    <w:rsid w:val="000E1654"/>
    <w:rsid w:val="000E21AB"/>
    <w:rsid w:val="001003CA"/>
    <w:rsid w:val="00106A63"/>
    <w:rsid w:val="00133B59"/>
    <w:rsid w:val="00141ED9"/>
    <w:rsid w:val="001545DD"/>
    <w:rsid w:val="001D572C"/>
    <w:rsid w:val="001E37DE"/>
    <w:rsid w:val="00255583"/>
    <w:rsid w:val="00267441"/>
    <w:rsid w:val="002B1A87"/>
    <w:rsid w:val="002B2311"/>
    <w:rsid w:val="002F6803"/>
    <w:rsid w:val="00322FE7"/>
    <w:rsid w:val="00324A1B"/>
    <w:rsid w:val="00327066"/>
    <w:rsid w:val="00361054"/>
    <w:rsid w:val="00372555"/>
    <w:rsid w:val="003A6E65"/>
    <w:rsid w:val="003A6FCB"/>
    <w:rsid w:val="003C3D2B"/>
    <w:rsid w:val="003C4D2D"/>
    <w:rsid w:val="003D6439"/>
    <w:rsid w:val="00402FEC"/>
    <w:rsid w:val="0040343E"/>
    <w:rsid w:val="004073F4"/>
    <w:rsid w:val="0041679E"/>
    <w:rsid w:val="00431004"/>
    <w:rsid w:val="004351F3"/>
    <w:rsid w:val="00461964"/>
    <w:rsid w:val="004843AF"/>
    <w:rsid w:val="004A1339"/>
    <w:rsid w:val="004A3BEB"/>
    <w:rsid w:val="004B7F04"/>
    <w:rsid w:val="004F5C9D"/>
    <w:rsid w:val="004F7947"/>
    <w:rsid w:val="0050618E"/>
    <w:rsid w:val="00514CCC"/>
    <w:rsid w:val="005311C8"/>
    <w:rsid w:val="00546967"/>
    <w:rsid w:val="00556221"/>
    <w:rsid w:val="0057007E"/>
    <w:rsid w:val="00592DA6"/>
    <w:rsid w:val="005D486F"/>
    <w:rsid w:val="005E17C1"/>
    <w:rsid w:val="005F78E3"/>
    <w:rsid w:val="00631FFB"/>
    <w:rsid w:val="00633D5F"/>
    <w:rsid w:val="00646EF1"/>
    <w:rsid w:val="006548F3"/>
    <w:rsid w:val="006716DB"/>
    <w:rsid w:val="006B02C0"/>
    <w:rsid w:val="006B452B"/>
    <w:rsid w:val="006C614D"/>
    <w:rsid w:val="006F3938"/>
    <w:rsid w:val="00700E61"/>
    <w:rsid w:val="007050F2"/>
    <w:rsid w:val="007143FA"/>
    <w:rsid w:val="0072572E"/>
    <w:rsid w:val="0074264F"/>
    <w:rsid w:val="00745E68"/>
    <w:rsid w:val="007719CF"/>
    <w:rsid w:val="00797B6A"/>
    <w:rsid w:val="007B0EEF"/>
    <w:rsid w:val="007B41E6"/>
    <w:rsid w:val="007D4FBE"/>
    <w:rsid w:val="00843EC3"/>
    <w:rsid w:val="00860FAD"/>
    <w:rsid w:val="0089358E"/>
    <w:rsid w:val="008B7D5E"/>
    <w:rsid w:val="008C7126"/>
    <w:rsid w:val="00910A0B"/>
    <w:rsid w:val="00915A75"/>
    <w:rsid w:val="00930481"/>
    <w:rsid w:val="00947ECC"/>
    <w:rsid w:val="00974256"/>
    <w:rsid w:val="00994CA6"/>
    <w:rsid w:val="009D3056"/>
    <w:rsid w:val="00A26093"/>
    <w:rsid w:val="00A42AB6"/>
    <w:rsid w:val="00A64087"/>
    <w:rsid w:val="00AA3965"/>
    <w:rsid w:val="00AC5A5B"/>
    <w:rsid w:val="00AD3A3A"/>
    <w:rsid w:val="00AE492F"/>
    <w:rsid w:val="00B46599"/>
    <w:rsid w:val="00B63B53"/>
    <w:rsid w:val="00B728D3"/>
    <w:rsid w:val="00BB00AA"/>
    <w:rsid w:val="00BB6A4A"/>
    <w:rsid w:val="00BC502A"/>
    <w:rsid w:val="00BE7303"/>
    <w:rsid w:val="00BF7175"/>
    <w:rsid w:val="00C27FD9"/>
    <w:rsid w:val="00C37C90"/>
    <w:rsid w:val="00C74F04"/>
    <w:rsid w:val="00C94076"/>
    <w:rsid w:val="00C9668F"/>
    <w:rsid w:val="00CD5AC9"/>
    <w:rsid w:val="00CF4F43"/>
    <w:rsid w:val="00D1022B"/>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 w:type="paragraph" w:styleId="NormalWeb">
    <w:name w:val="Normal (Web)"/>
    <w:basedOn w:val="Normal"/>
    <w:uiPriority w:val="99"/>
    <w:unhideWhenUsed/>
    <w:rsid w:val="00402FE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Heidi Price</cp:lastModifiedBy>
  <cp:revision>4</cp:revision>
  <cp:lastPrinted>2025-08-20T19:05:00Z</cp:lastPrinted>
  <dcterms:created xsi:type="dcterms:W3CDTF">2026-05-17T03:17:00Z</dcterms:created>
  <dcterms:modified xsi:type="dcterms:W3CDTF">2026-05-17T03:41:00Z</dcterms:modified>
</cp:coreProperties>
</file>